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Invitation to discuss co-operative housing in London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context for stakeholders: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In November 2021, the Greater London Authority (GLA) Housing and Land Policy Team began work to assess the role of housing co-operatives in London. Initial research included synthesis of data on the co-operative housing sector and initial stakeholder engagement. It concluded that housing co-operatives offer benefits to their members:</w:t>
      </w: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Better property condition and tenant satisfaction than national average</w:t>
      </w:r>
    </w:p>
    <w:p>
      <w:pPr>
        <w:pStyle w:val="List Paragraph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</w:rPr>
      </w:pPr>
      <w:r>
        <w:rPr>
          <w:rFonts w:ascii="Trebuchet MS"/>
          <w:rtl w:val="0"/>
          <w:lang w:val="en-US"/>
        </w:rPr>
        <w:t>Security of tenure and agency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 xml:space="preserve">Affordability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It also concluded that London</w:t>
      </w:r>
      <w:r>
        <w:rPr>
          <w:rFonts w:ascii="Calibri" w:cs="Calibri" w:hAnsi="Calibri" w:eastAsia="Calibri"/>
          <w:rtl w:val="1"/>
        </w:rPr>
        <w:t>’</w:t>
      </w:r>
      <w:r>
        <w:rPr>
          <w:rFonts w:ascii="Calibri" w:cs="Calibri" w:hAnsi="Calibri" w:eastAsia="Calibri"/>
          <w:rtl w:val="0"/>
          <w:lang w:val="en-US"/>
        </w:rPr>
        <w:t>s co-operative housing sector was small by international standards and identified challenges to the expansion of the co-operative housing sector.</w:t>
      </w:r>
    </w:p>
    <w:p>
      <w:pPr>
        <w:pStyle w:val="List Paragraph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Lack of government funding</w:t>
      </w:r>
    </w:p>
    <w:p>
      <w:pPr>
        <w:pStyle w:val="List Paragraph"/>
        <w:numPr>
          <w:ilvl w:val="0"/>
          <w:numId w:val="9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Difficulty financing loans and finding suitable finance products</w:t>
      </w:r>
    </w:p>
    <w:p>
      <w:pPr>
        <w:pStyle w:val="List Paragraph"/>
        <w:numPr>
          <w:ilvl w:val="0"/>
          <w:numId w:val="10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Low awareness</w:t>
      </w:r>
    </w:p>
    <w:p>
      <w:pPr>
        <w:pStyle w:val="List Paragraph"/>
        <w:numPr>
          <w:ilvl w:val="0"/>
          <w:numId w:val="11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Difficulty finding advice and guidance</w:t>
      </w:r>
    </w:p>
    <w:p>
      <w:pPr>
        <w:pStyle w:val="Body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Scope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Work is now being done to identify what roles GLA could perform in supporting the co-operative housing sector to grow. The work is bounded by the following scope considerations:</w:t>
      </w:r>
    </w:p>
    <w:p>
      <w:pPr>
        <w:pStyle w:val="List Paragraph"/>
        <w:numPr>
          <w:ilvl w:val="0"/>
          <w:numId w:val="14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</w:rPr>
      </w:pPr>
      <w:r>
        <w:rPr>
          <w:rFonts w:ascii="Trebuchet MS"/>
          <w:rtl w:val="0"/>
          <w:lang w:val="en-US"/>
        </w:rPr>
        <w:t>Due to the existence of the Community Housing Fund, which already offers capital to co-operatives looking to build homes, this work is focusing on supporting the acquisition of homes by housing co-operatives</w:t>
      </w:r>
    </w:p>
    <w:p>
      <w:pPr>
        <w:pStyle w:val="List Paragraph"/>
        <w:numPr>
          <w:ilvl w:val="0"/>
          <w:numId w:val="15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GLA is aware of the Mutual Home Ownership Society (MHOS) model</w:t>
      </w:r>
    </w:p>
    <w:p>
      <w:pPr>
        <w:pStyle w:val="List Paragraph"/>
        <w:numPr>
          <w:ilvl w:val="0"/>
          <w:numId w:val="16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</w:rPr>
      </w:pPr>
      <w:r>
        <w:rPr>
          <w:rFonts w:ascii="Trebuchet MS"/>
          <w:rtl w:val="0"/>
          <w:lang w:val="en-US"/>
        </w:rPr>
        <w:t>It is understood that most existing co-operatives don't want to expand significantly, due to the positionality of members in member-benefit societies. It is acknowledged that a small number of existing co-ops are looking to expand, largely as RPs.</w:t>
      </w:r>
    </w:p>
    <w:p>
      <w:pPr>
        <w:pStyle w:val="List Paragraph"/>
        <w:numPr>
          <w:ilvl w:val="0"/>
          <w:numId w:val="17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en-US"/>
        </w:rPr>
        <w:t>Funding may come from within or without GLA</w:t>
      </w:r>
    </w:p>
    <w:p>
      <w:pPr>
        <w:pStyle w:val="Body"/>
        <w:rPr>
          <w:rtl w:val="0"/>
        </w:rPr>
      </w:pPr>
    </w:p>
    <w:p>
      <w:pPr>
        <w:pStyle w:val="Body"/>
      </w:pPr>
      <w:r>
        <w:rPr>
          <w:rFonts w:ascii="Calibri" w:cs="Calibri" w:hAnsi="Calibri" w:eastAsia="Calibri"/>
          <w:rtl w:val="0"/>
          <w:lang w:val="sv-SE"/>
        </w:rPr>
        <w:t xml:space="preserve">Sam Hurst </w:t>
      </w:r>
      <w:hyperlink r:id="rId4" w:history="1">
        <w:r>
          <w:rPr>
            <w:rStyle w:val="Hyperlink.0"/>
            <w:rFonts w:ascii="Calibri" w:cs="Calibri" w:hAnsi="Calibri" w:eastAsia="Calibri"/>
            <w:rtl w:val="0"/>
          </w:rPr>
          <w:t>&lt;sam.hurst@london.gov.uk</w:t>
        </w:r>
      </w:hyperlink>
      <w:r>
        <w:rPr>
          <w:rFonts w:ascii="Calibri" w:cs="Calibri" w:hAnsi="Calibri" w:eastAsia="Calibri"/>
          <w:rtl w:val="0"/>
          <w:lang w:val="en-US"/>
        </w:rPr>
        <w:t xml:space="preserve">&gt; is the policy officer leading this work at GLA. </w:t>
      </w:r>
      <w:r>
        <w:rPr>
          <w:rFonts w:ascii="Calibri" w:cs="Calibri" w:hAnsi="Calibri" w:eastAsia="Calibri"/>
          <w:b w:val="1"/>
          <w:bCs w:val="1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4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6">
    <w:multiLevelType w:val="multilevel"/>
    <w:styleLink w:val="List 2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6"/>
      </w:numPr>
    </w:pPr>
  </w:style>
  <w:style w:type="numbering" w:styleId="Imported Style 2">
    <w:name w:val="Imported Style 2"/>
    <w:next w:val="Imported Style 2"/>
    <w:pPr>
      <w:numPr>
        <w:numId w:val="7"/>
      </w:numPr>
    </w:pPr>
  </w:style>
  <w:style w:type="numbering" w:styleId="List 2">
    <w:name w:val="List 2"/>
    <w:basedOn w:val="Imported Style 3"/>
    <w:next w:val="List 2"/>
    <w:pPr>
      <w:numPr>
        <w:numId w:val="12"/>
      </w:numPr>
    </w:pPr>
  </w:style>
  <w:style w:type="numbering" w:styleId="Imported Style 3">
    <w:name w:val="Imported Style 3"/>
    <w:next w:val="Imported Style 3"/>
    <w:pPr>
      <w:numPr>
        <w:numId w:val="13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%253Csam.hurst@london.gov.uk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